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 внесен</w:t>
      </w: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Главой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Таймырского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Долгано-Ненецкого</w:t>
      </w: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муниципального района</w:t>
      </w:r>
    </w:p>
    <w:p w:rsidR="002D2DFB" w:rsidRDefault="008A0854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 А.В. Членов</w:t>
      </w: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«_____» ___________ 20 ___ г.</w:t>
      </w:r>
    </w:p>
    <w:p w:rsidR="002D2DFB" w:rsidRDefault="002D2DFB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jc w:val="center"/>
        <w:outlineLvl w:val="0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ТАЙМЫРСКИЙ ДОЛГАНО-НЕНЕЦКИЙ МУНИЦИПАЛЬНЫЙ ОКРУГ</w:t>
      </w:r>
    </w:p>
    <w:p w:rsidR="002D2DFB" w:rsidRDefault="001C7B52">
      <w:pPr>
        <w:spacing w:after="0" w:line="340" w:lineRule="exac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D2DFB" w:rsidRDefault="001C7B52">
      <w:pPr>
        <w:spacing w:after="0" w:line="340" w:lineRule="exac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ТАЙМЫРСКИЙ ДОЛГАНО-НЕНЕЦКИЙ РАЙОННЫЙ СОВЕТ ДЕПУТАТОВ</w:t>
      </w:r>
    </w:p>
    <w:p w:rsidR="002D2DFB" w:rsidRDefault="001C7B52">
      <w:pPr>
        <w:spacing w:after="0" w:line="3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2DFB" w:rsidRDefault="001C7B52">
      <w:pPr>
        <w:spacing w:after="0" w:line="340" w:lineRule="exact"/>
        <w:ind w:left="708"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202 </w:t>
      </w:r>
      <w:r>
        <w:rPr>
          <w:rFonts w:ascii="Times New Roman" w:hAnsi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№</w:t>
      </w:r>
    </w:p>
    <w:p w:rsidR="002D2DFB" w:rsidRDefault="001C7B52">
      <w:pPr>
        <w:spacing w:after="0" w:line="3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г. ДУДИНКА</w:t>
      </w:r>
    </w:p>
    <w:p w:rsidR="002D2DFB" w:rsidRDefault="002D2DFB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ТАЙМЫРСКОГО</w:t>
      </w:r>
      <w:proofErr w:type="gramEnd"/>
    </w:p>
    <w:p w:rsidR="002D2DFB" w:rsidRDefault="001C7B52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ДОЛГАНО-НЕНЕЦКОГО РАЙОННОГО СОВЕТА ДЕПУТАТОВ</w:t>
      </w:r>
    </w:p>
    <w:p w:rsidR="002D2DFB" w:rsidRDefault="001C7B52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ПОЛОЖЕНИЯ О СИСТЕМАХ ОПЛАТЫ ТРУДА</w:t>
      </w:r>
    </w:p>
    <w:p w:rsidR="002D2DFB" w:rsidRDefault="001C7B52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УЧРЕЖДЕНИЙ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ТАЙМЫРСКОГО</w:t>
      </w:r>
      <w:proofErr w:type="gramEnd"/>
    </w:p>
    <w:p w:rsidR="002D2DFB" w:rsidRDefault="001C7B52">
      <w:pPr>
        <w:pStyle w:val="ConsPlusTitle"/>
        <w:spacing w:line="3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ДОЛГАНО-НЕНЕЦКОГО МУНИЦИПАЛЬНОГО РАЙОНА»</w:t>
      </w:r>
    </w:p>
    <w:p w:rsidR="002D2DFB" w:rsidRDefault="002D2DFB">
      <w:pPr>
        <w:pStyle w:val="ConsPlusNormal"/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spacing w:after="0" w:line="340" w:lineRule="exac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Таймырский Долгано-Ненецкий районный Совет депутатов решил:</w:t>
      </w: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Положение о системах оплаты труда работников муниципальных учреждений Таймырского Долгано-Ненецкого муниципального района, утвержденное Решением Таймырского Долгано-Ненецкого районного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от 12 мая 2014 года №  03-0038 «Об утверждении Положения о системах оплаты труда работников муниципальных учреждений Таймырского Долгано-Ненецкого муниципального района» (в редакции Решений Таймырского Долгано-Ненецкого районного Совета д</w:t>
      </w:r>
      <w:r>
        <w:rPr>
          <w:rFonts w:ascii="Times New Roman" w:hAnsi="Times New Roman" w:cs="Times New Roman"/>
          <w:sz w:val="28"/>
          <w:szCs w:val="28"/>
        </w:rPr>
        <w:t xml:space="preserve">епутатов от 16 сентября 2014 года № 03-0048, 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от 29 апреля 2015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05-0074,  от 14 декабря 2015 года  № 06-0109,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30 августа 2016 года  № 09-0123, от 25 ноября 2016 года  № 11-0150,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от 15 февраля 2018 года  № 15-0216, от 14 июня 2018 года  № 15-0227</w:t>
      </w:r>
      <w:r>
        <w:rPr>
          <w:rFonts w:ascii="Times New Roman" w:hAnsi="Times New Roman" w:cs="Times New Roman"/>
          <w:sz w:val="28"/>
          <w:szCs w:val="28"/>
        </w:rPr>
        <w:t xml:space="preserve">, от 1 ноября 2018 года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№ 01-007, от 15 декабря 2021 года № 12-172, от 28 апреля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2022 года № 13-191, </w:t>
      </w:r>
      <w:bookmarkStart w:id="0" w:name="_Hlk174108571"/>
      <w:r>
        <w:rPr>
          <w:rFonts w:ascii="Times New Roman" w:hAnsi="Times New Roman" w:cs="Times New Roman"/>
          <w:sz w:val="28"/>
          <w:szCs w:val="28"/>
        </w:rPr>
        <w:t>от 14 декабря 2023 года № 01-027</w:t>
      </w:r>
      <w:bookmarkEnd w:id="0"/>
      <w:r>
        <w:rPr>
          <w:rFonts w:ascii="Times New Roman" w:hAnsi="Times New Roman" w:cs="Times New Roman"/>
          <w:sz w:val="28"/>
          <w:szCs w:val="28"/>
        </w:rPr>
        <w:t>, от 22 мая 2024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proofErr w:type="gramStart"/>
      <w:r>
        <w:rPr>
          <w:rFonts w:ascii="Times New Roman" w:hAnsi="Times New Roman" w:cs="Times New Roman"/>
          <w:sz w:val="28"/>
          <w:szCs w:val="28"/>
        </w:rPr>
        <w:t>02-046, от 19 сентября 2024 года № 03-053, от 23 января 2025 года № 04-075,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20 марта 2025 года №</w:t>
      </w:r>
      <w:r>
        <w:rPr>
          <w:rFonts w:ascii="Times New Roman" w:hAnsi="Times New Roman" w:cs="Times New Roman"/>
          <w:sz w:val="28"/>
          <w:szCs w:val="28"/>
        </w:rPr>
        <w:t xml:space="preserve"> 04-089, от 26 июня 2025 года № 04-106, от 16 декабря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2025 года № 05-128, от 23 апреля 2026 года № 06-144), следующие изменения: </w:t>
      </w:r>
      <w:proofErr w:type="gramEnd"/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разделе IV:</w:t>
      </w:r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второй пункта 17.1. изложить в следующей редакции:</w:t>
      </w:r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«Работникам по основному месту работы ежемесячн</w:t>
      </w:r>
      <w:r>
        <w:rPr>
          <w:rFonts w:ascii="Times New Roman" w:hAnsi="Times New Roman" w:cs="Times New Roman"/>
          <w:sz w:val="28"/>
          <w:szCs w:val="28"/>
        </w:rPr>
        <w:t xml:space="preserve">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устанавливается в размере и на условиях, аналогичных предусмотренными </w:t>
      </w:r>
      <w:bookmarkStart w:id="1" w:name="_Hlk228803739"/>
      <w:r>
        <w:rPr>
          <w:rFonts w:ascii="Times New Roman" w:hAnsi="Times New Roman" w:cs="Times New Roman"/>
          <w:sz w:val="28"/>
          <w:szCs w:val="28"/>
        </w:rPr>
        <w:t>Законом Кра</w:t>
      </w:r>
      <w:r>
        <w:rPr>
          <w:rFonts w:ascii="Times New Roman" w:hAnsi="Times New Roman" w:cs="Times New Roman"/>
          <w:sz w:val="28"/>
          <w:szCs w:val="28"/>
        </w:rPr>
        <w:t xml:space="preserve">сноярского края от 29.10.2009 № 9-3864 </w:t>
      </w:r>
      <w:r w:rsidR="008A085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«О системах оплаты труда работников краевых государственных учреждений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bookmarkEnd w:id="1"/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второй пункта 18 изложить в следующей редакции:</w:t>
      </w:r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«Выплаты стимулирующего характера производятся по решению руководителя органа, руково</w:t>
      </w:r>
      <w:r>
        <w:rPr>
          <w:rFonts w:ascii="Times New Roman" w:hAnsi="Times New Roman" w:cs="Times New Roman"/>
          <w:sz w:val="28"/>
          <w:szCs w:val="28"/>
        </w:rPr>
        <w:t>дителя муниципального учреждения с учетом критериев оценки результативности и качества труда работника. Критерии оценки результативности и качества труда работника не учитываются при выплате стимулирующих выплат: за квалификационную категорию, за условия р</w:t>
      </w:r>
      <w:r>
        <w:rPr>
          <w:rFonts w:ascii="Times New Roman" w:hAnsi="Times New Roman" w:cs="Times New Roman"/>
          <w:sz w:val="28"/>
          <w:szCs w:val="28"/>
        </w:rPr>
        <w:t xml:space="preserve">аботы в муниципальном округе Красноярского края; за работу в сельской местности; за работу на северных территориях; в целях повышения уровня оплаты труда молодым специалистам; обеспечения заработной платы работника на уровне размера минимальной заработной </w:t>
      </w:r>
      <w:r>
        <w:rPr>
          <w:rFonts w:ascii="Times New Roman" w:hAnsi="Times New Roman" w:cs="Times New Roman"/>
          <w:sz w:val="28"/>
          <w:szCs w:val="28"/>
        </w:rPr>
        <w:t xml:space="preserve">платы, установленного Законом Красноярского края от 29.10.2009 № 9-3864 «О системах оплаты труда работников краевых государственных учреждений» </w:t>
      </w:r>
      <w:bookmarkStart w:id="2" w:name="_Hlk228804531"/>
      <w:r>
        <w:rPr>
          <w:rFonts w:ascii="Times New Roman" w:hAnsi="Times New Roman" w:cs="Times New Roman"/>
          <w:sz w:val="28"/>
          <w:szCs w:val="28"/>
        </w:rPr>
        <w:t>для территории муниципального округа Красноярского края</w:t>
      </w:r>
      <w:bookmarkEnd w:id="2"/>
      <w:r>
        <w:rPr>
          <w:rFonts w:ascii="Times New Roman" w:hAnsi="Times New Roman" w:cs="Times New Roman"/>
          <w:sz w:val="28"/>
          <w:szCs w:val="28"/>
        </w:rPr>
        <w:t>; обеспечения региональной выплаты, установленной пунктом</w:t>
      </w:r>
      <w:r>
        <w:rPr>
          <w:rFonts w:ascii="Times New Roman" w:hAnsi="Times New Roman" w:cs="Times New Roman"/>
          <w:sz w:val="28"/>
          <w:szCs w:val="28"/>
        </w:rPr>
        <w:t xml:space="preserve"> 16.3 настоящего Положения; специальной краевой выплаты. Выплаты стимулирующего характера производятся в пределах бюджетных ассигнований на оплату труда работников учреждения, предусмотренных в бюджете муниципальн</w:t>
      </w:r>
      <w:r w:rsidR="008A0854">
        <w:rPr>
          <w:rFonts w:ascii="Times New Roman" w:hAnsi="Times New Roman" w:cs="Times New Roman"/>
          <w:sz w:val="28"/>
          <w:szCs w:val="28"/>
        </w:rPr>
        <w:t>ого округа Красноярского края</w:t>
      </w:r>
      <w:proofErr w:type="gramStart"/>
      <w:r w:rsidR="008A0854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таблиц</w:t>
      </w:r>
      <w:r>
        <w:rPr>
          <w:rFonts w:ascii="Times New Roman" w:hAnsi="Times New Roman" w:cs="Times New Roman"/>
          <w:sz w:val="28"/>
          <w:szCs w:val="28"/>
        </w:rPr>
        <w:t>у приложения 1 к Положению дополнить строками следующего содержания:</w:t>
      </w:r>
    </w:p>
    <w:p w:rsidR="002D2DFB" w:rsidRDefault="001C7B52">
      <w:pPr>
        <w:pStyle w:val="ConsPlusNormal"/>
        <w:spacing w:line="340" w:lineRule="exact"/>
        <w:ind w:left="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2D2DFB" w:rsidRDefault="002D2DFB">
      <w:pPr>
        <w:pStyle w:val="ConsPlusNormal"/>
        <w:spacing w:line="340" w:lineRule="exact"/>
        <w:ind w:left="567"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061"/>
        <w:gridCol w:w="1361"/>
        <w:gridCol w:w="1417"/>
        <w:gridCol w:w="1361"/>
        <w:gridCol w:w="1361"/>
      </w:tblGrid>
      <w:tr w:rsidR="002D2DFB">
        <w:trPr>
          <w:trHeight w:val="1285"/>
        </w:trPr>
        <w:tc>
          <w:tcPr>
            <w:tcW w:w="510" w:type="dxa"/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управлению культуры Администрации муниципального района</w:t>
            </w:r>
          </w:p>
        </w:tc>
        <w:tc>
          <w:tcPr>
            <w:tcW w:w="1361" w:type="dxa"/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61" w:type="dxa"/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Библиотеки, централизованные библиотечные системы</w:t>
            </w:r>
          </w:p>
        </w:tc>
        <w:tc>
          <w:tcPr>
            <w:tcW w:w="1361" w:type="dxa"/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2,7–2,9</w:t>
            </w:r>
          </w:p>
        </w:tc>
        <w:tc>
          <w:tcPr>
            <w:tcW w:w="1417" w:type="dxa"/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2,5–2,7</w:t>
            </w:r>
          </w:p>
        </w:tc>
        <w:tc>
          <w:tcPr>
            <w:tcW w:w="1361" w:type="dxa"/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2,3–2,5</w:t>
            </w:r>
          </w:p>
        </w:tc>
        <w:tc>
          <w:tcPr>
            <w:tcW w:w="1361" w:type="dxa"/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2,2–2,3</w:t>
            </w:r>
          </w:p>
        </w:tc>
      </w:tr>
      <w:tr w:rsidR="002D2DF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61" w:type="dxa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культуры клубного типа, центры народного творчества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2,7–3,0</w:t>
            </w:r>
          </w:p>
        </w:tc>
        <w:tc>
          <w:tcPr>
            <w:tcW w:w="1417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2,5–2,7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2,3–2,5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2D2DF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061" w:type="dxa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кинематографии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2,0–3,0</w:t>
            </w:r>
          </w:p>
        </w:tc>
        <w:tc>
          <w:tcPr>
            <w:tcW w:w="1417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1361" w:type="dxa"/>
          </w:tcPr>
          <w:p w:rsidR="002D2DFB" w:rsidRDefault="002D2DFB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2D2DFB" w:rsidRDefault="002D2DFB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061" w:type="dxa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Учреждения дополнительного образования детей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2,9–4,5</w:t>
            </w:r>
          </w:p>
        </w:tc>
        <w:tc>
          <w:tcPr>
            <w:tcW w:w="1417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2,5–2,9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1,8–2,5</w:t>
            </w:r>
          </w:p>
        </w:tc>
        <w:tc>
          <w:tcPr>
            <w:tcW w:w="1361" w:type="dxa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1,5–1,7</w:t>
            </w:r>
          </w:p>
        </w:tc>
      </w:tr>
      <w:tr w:rsidR="002D2DF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061" w:type="dxa"/>
          </w:tcPr>
          <w:p w:rsidR="002D2DFB" w:rsidRDefault="001C7B52">
            <w:pPr>
              <w:spacing w:after="0" w:line="3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Учреждения, осуществляющие деятельность в сфере обеспечения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учреждений культуры</w:t>
            </w:r>
          </w:p>
        </w:tc>
        <w:tc>
          <w:tcPr>
            <w:tcW w:w="1361" w:type="dxa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2DFB" w:rsidRDefault="001C7B52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3,3 </w:t>
            </w:r>
          </w:p>
        </w:tc>
        <w:tc>
          <w:tcPr>
            <w:tcW w:w="1417" w:type="dxa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2DFB" w:rsidRDefault="001C7B52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2,7 </w:t>
            </w:r>
          </w:p>
        </w:tc>
        <w:tc>
          <w:tcPr>
            <w:tcW w:w="1361" w:type="dxa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2DFB" w:rsidRDefault="002D2DFB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2DFB" w:rsidRDefault="002D2DFB">
            <w:pPr>
              <w:spacing w:after="0" w:line="3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2DFB" w:rsidRDefault="008A0854">
      <w:pPr>
        <w:pStyle w:val="ConsPlusNormal"/>
        <w:spacing w:line="340" w:lineRule="exact"/>
        <w:ind w:left="567"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»;</w:t>
      </w:r>
      <w:bookmarkStart w:id="3" w:name="_GoBack"/>
      <w:bookmarkEnd w:id="3"/>
    </w:p>
    <w:p w:rsidR="002D2DFB" w:rsidRDefault="001C7B52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2 к Положению дополнить пунктом 4 следующего содержания:</w:t>
      </w:r>
    </w:p>
    <w:p w:rsidR="002D2DFB" w:rsidRDefault="002D2DFB">
      <w:pPr>
        <w:widowControl w:val="0"/>
        <w:spacing w:after="0" w:line="340" w:lineRule="exac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DFB" w:rsidRDefault="001C7B52">
      <w:pPr>
        <w:widowControl w:val="0"/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«4.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Учреждения, подведомственные управлению культуры Администрации муниципального района: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 Библиотеки, централизованные библиотечные системы:</w:t>
      </w:r>
    </w:p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342"/>
        <w:gridCol w:w="1694"/>
        <w:gridCol w:w="1777"/>
        <w:gridCol w:w="1611"/>
        <w:gridCol w:w="931"/>
      </w:tblGrid>
      <w:tr w:rsidR="002D2DFB">
        <w:trPr>
          <w:jc w:val="center"/>
        </w:trPr>
        <w:tc>
          <w:tcPr>
            <w:tcW w:w="0" w:type="auto"/>
            <w:vMerge w:val="restar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gridSpan w:val="4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по оплате труда руководителей учреждений</w:t>
            </w:r>
          </w:p>
        </w:tc>
      </w:tr>
      <w:tr w:rsidR="002D2DFB">
        <w:trPr>
          <w:jc w:val="center"/>
        </w:trPr>
        <w:tc>
          <w:tcPr>
            <w:tcW w:w="0" w:type="auto"/>
            <w:vMerge/>
            <w:vAlign w:val="center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IV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читателей, тыс. человек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12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8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12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5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 8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 5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книговыдач, тыс. экземпляров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200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100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 200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85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 100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 85</w:t>
            </w:r>
          </w:p>
        </w:tc>
      </w:tr>
    </w:tbl>
    <w:p w:rsidR="002D2DFB" w:rsidRDefault="002D2DFB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отнесении централизованных библиотечных систем к группам по оплате труда учитывается общее число читателей и количество книговыдач в системе в целом, включая показатели филиалов.</w:t>
      </w:r>
    </w:p>
    <w:p w:rsidR="002D2DFB" w:rsidRDefault="002D2DFB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 Учреждения культуры клубного типа, центры народного творчества, кин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опоказа: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4.2.1. Учреждения культуры клубного типа:</w:t>
      </w:r>
    </w:p>
    <w:p w:rsidR="002D2DFB" w:rsidRDefault="002D2DFB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157"/>
        <w:gridCol w:w="1425"/>
        <w:gridCol w:w="1425"/>
        <w:gridCol w:w="1425"/>
        <w:gridCol w:w="923"/>
      </w:tblGrid>
      <w:tr w:rsidR="002D2DFB">
        <w:trPr>
          <w:jc w:val="center"/>
        </w:trPr>
        <w:tc>
          <w:tcPr>
            <w:tcW w:w="0" w:type="auto"/>
            <w:vMerge w:val="restar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gridSpan w:val="4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по оплате труда руководителей</w:t>
            </w:r>
          </w:p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учреждений</w:t>
            </w:r>
          </w:p>
        </w:tc>
      </w:tr>
      <w:tr w:rsidR="002D2DFB">
        <w:trPr>
          <w:jc w:val="center"/>
        </w:trPr>
        <w:tc>
          <w:tcPr>
            <w:tcW w:w="0" w:type="auto"/>
            <w:vMerge/>
            <w:vAlign w:val="center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IV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массовых мероприятий, ед.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250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190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250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170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190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 100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 170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постоянно действующих в течение года клубных формирований, ед.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19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19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15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10</w:t>
            </w:r>
          </w:p>
        </w:tc>
      </w:tr>
    </w:tbl>
    <w:p w:rsidR="002D2DFB" w:rsidRDefault="002D2DFB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клубным формированиям относятся любительские объединения и клубы по интересам, коллективы художественной самодеятельности и тех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нического творчества, кружки изобразительного и декоративно-прикладного искусства, прикладных знаний и навыков, школы, студии, народные университеты, другие подобные формирования.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 массовым мероприятиям относятся лекции, циклы лекций, театрализованные пра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здники, тематические вечера, концерты, смотры-конкурсы по различным видам и жанрам народного творчества, КВН, вечера отдыха, ритуалы, обряды, выставки, творческие отчеты, устные журналы, чествование коллективов, вечера-портреты, фестивали и т. п.</w:t>
      </w:r>
      <w:proofErr w:type="gramEnd"/>
    </w:p>
    <w:p w:rsidR="002D2DFB" w:rsidRDefault="002D2DFB">
      <w:pPr>
        <w:spacing w:after="0" w:line="34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 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ентры народного творчества:</w:t>
      </w:r>
    </w:p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582"/>
        <w:gridCol w:w="1425"/>
        <w:gridCol w:w="1425"/>
        <w:gridCol w:w="923"/>
      </w:tblGrid>
      <w:tr w:rsidR="002D2DFB">
        <w:trPr>
          <w:jc w:val="center"/>
        </w:trPr>
        <w:tc>
          <w:tcPr>
            <w:tcW w:w="0" w:type="auto"/>
            <w:vMerge w:val="restar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gridSpan w:val="3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по оплате труда</w:t>
            </w:r>
          </w:p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руководителей учреждений</w:t>
            </w:r>
          </w:p>
        </w:tc>
      </w:tr>
      <w:tr w:rsidR="002D2DFB">
        <w:trPr>
          <w:jc w:val="center"/>
        </w:trPr>
        <w:tc>
          <w:tcPr>
            <w:tcW w:w="0" w:type="auto"/>
            <w:vMerge/>
            <w:vAlign w:val="center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клубных учреждений, центров культуры и досуга, парков культуры и отдыха, домов ремесел и других аналогичных организаций, которым оказывается методическая помощь, ед.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800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свыше 500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800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 500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действующих в течение года клубн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ых формирований в клубных учреждениях, центрах культуры и досуга, парках культуры и отдыха, домах ремесел и других аналогичных организациях, ед.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50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до 100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50</w:t>
            </w:r>
          </w:p>
        </w:tc>
      </w:tr>
    </w:tbl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 Учреждения кинематографии:</w:t>
      </w:r>
    </w:p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067"/>
        <w:gridCol w:w="2256"/>
        <w:gridCol w:w="2032"/>
      </w:tblGrid>
      <w:tr w:rsidR="002D2DFB">
        <w:trPr>
          <w:jc w:val="center"/>
        </w:trPr>
        <w:tc>
          <w:tcPr>
            <w:tcW w:w="0" w:type="auto"/>
            <w:vMerge w:val="restar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gridSpan w:val="2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по оплате труда</w:t>
            </w:r>
          </w:p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руководителей учреждений</w:t>
            </w:r>
          </w:p>
        </w:tc>
      </w:tr>
      <w:tr w:rsidR="002D2DFB">
        <w:trPr>
          <w:jc w:val="center"/>
        </w:trPr>
        <w:tc>
          <w:tcPr>
            <w:tcW w:w="0" w:type="auto"/>
            <w:vMerge/>
            <w:vAlign w:val="center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киносеансов, ед.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1500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1000–1500</w:t>
            </w:r>
          </w:p>
        </w:tc>
      </w:tr>
      <w:tr w:rsidR="002D2DFB">
        <w:trPr>
          <w:jc w:val="center"/>
        </w:trPr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массовых мероприятий, ед.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150</w:t>
            </w:r>
          </w:p>
        </w:tc>
        <w:tc>
          <w:tcPr>
            <w:tcW w:w="0" w:type="auto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100–150</w:t>
            </w:r>
          </w:p>
        </w:tc>
      </w:tr>
    </w:tbl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4.3. Учреждения дополнительного образования детей:</w:t>
      </w:r>
    </w:p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823"/>
        <w:gridCol w:w="1425"/>
        <w:gridCol w:w="1300"/>
        <w:gridCol w:w="1285"/>
        <w:gridCol w:w="1522"/>
      </w:tblGrid>
      <w:tr w:rsidR="002D2DFB">
        <w:trPr>
          <w:jc w:val="center"/>
        </w:trPr>
        <w:tc>
          <w:tcPr>
            <w:tcW w:w="2332" w:type="pct"/>
            <w:vMerge w:val="restar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668" w:type="pct"/>
            <w:gridSpan w:val="4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по оплате труда руководителей учреждений</w:t>
            </w:r>
          </w:p>
        </w:tc>
      </w:tr>
      <w:tr w:rsidR="002D2DFB">
        <w:trPr>
          <w:jc w:val="center"/>
        </w:trPr>
        <w:tc>
          <w:tcPr>
            <w:tcW w:w="2332" w:type="pct"/>
            <w:vMerge/>
            <w:vAlign w:val="center"/>
          </w:tcPr>
          <w:p w:rsidR="002D2DFB" w:rsidRDefault="002D2DF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631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624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738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IV</w:t>
            </w:r>
          </w:p>
        </w:tc>
      </w:tr>
      <w:tr w:rsidR="002D2DFB">
        <w:trPr>
          <w:jc w:val="center"/>
        </w:trPr>
        <w:tc>
          <w:tcPr>
            <w:tcW w:w="2332" w:type="pct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обучающихся в учреждении, чел.</w:t>
            </w:r>
          </w:p>
        </w:tc>
        <w:tc>
          <w:tcPr>
            <w:tcW w:w="675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 800</w:t>
            </w:r>
          </w:p>
        </w:tc>
        <w:tc>
          <w:tcPr>
            <w:tcW w:w="631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500 до 800</w:t>
            </w:r>
          </w:p>
        </w:tc>
        <w:tc>
          <w:tcPr>
            <w:tcW w:w="624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200 до 500</w:t>
            </w:r>
          </w:p>
        </w:tc>
        <w:tc>
          <w:tcPr>
            <w:tcW w:w="738" w:type="pct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до 200</w:t>
            </w:r>
          </w:p>
        </w:tc>
      </w:tr>
      <w:tr w:rsidR="002D2DFB">
        <w:trPr>
          <w:jc w:val="center"/>
        </w:trPr>
        <w:tc>
          <w:tcPr>
            <w:tcW w:w="2332" w:type="pct"/>
          </w:tcPr>
          <w:p w:rsidR="002D2DFB" w:rsidRDefault="001C7B52">
            <w:pPr>
              <w:widowControl w:val="0"/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работников в учреждении, имеющих первую и высшую квалификационную категорию, чел.</w:t>
            </w:r>
          </w:p>
        </w:tc>
        <w:tc>
          <w:tcPr>
            <w:tcW w:w="675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20</w:t>
            </w:r>
          </w:p>
        </w:tc>
        <w:tc>
          <w:tcPr>
            <w:tcW w:w="631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10 до 20</w:t>
            </w:r>
          </w:p>
        </w:tc>
        <w:tc>
          <w:tcPr>
            <w:tcW w:w="624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свыше 5 до 10</w:t>
            </w:r>
          </w:p>
        </w:tc>
        <w:tc>
          <w:tcPr>
            <w:tcW w:w="738" w:type="pct"/>
          </w:tcPr>
          <w:p w:rsidR="002D2DFB" w:rsidRDefault="001C7B52">
            <w:pPr>
              <w:widowControl w:val="0"/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5 </w:t>
            </w:r>
          </w:p>
        </w:tc>
      </w:tr>
    </w:tbl>
    <w:p w:rsidR="002D2DFB" w:rsidRDefault="002D2DFB">
      <w:pPr>
        <w:spacing w:after="0" w:line="34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 Учреждения, осуществляющие деятельность в сфере обеспечения деятельности учреждений культуры: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деятельности каждого учреждения оценивается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баллах по показателям для отнесения учреждений к группам по оплате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труда.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Группа по оплате труда руководи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телей учреждений определяется исходя из следующей суммы баллов:</w:t>
      </w:r>
    </w:p>
    <w:p w:rsidR="002D2DFB" w:rsidRDefault="002D2DFB">
      <w:pPr>
        <w:spacing w:after="0" w:line="3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972"/>
        <w:gridCol w:w="2288"/>
        <w:gridCol w:w="2115"/>
      </w:tblGrid>
      <w:tr w:rsidR="002D2DF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Группы по оплате труда руководителей учреждений (по сумме баллов)</w:t>
            </w:r>
          </w:p>
        </w:tc>
      </w:tr>
      <w:tr w:rsidR="002D2D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DFB" w:rsidRDefault="002D2DFB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ind w:firstLine="17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II</w:t>
            </w:r>
          </w:p>
        </w:tc>
      </w:tr>
      <w:tr w:rsidR="002D2D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Учреждения, </w:t>
            </w:r>
            <w:bookmarkStart w:id="4" w:name="OLE_LINK1"/>
            <w:bookmarkStart w:id="5" w:name="OLE_LINK2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осуществляющие деятельность в сфере обеспечения деятельности учреждений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культуры</w:t>
            </w:r>
            <w:bookmarkEnd w:id="4"/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свыше 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600</w:t>
            </w:r>
          </w:p>
        </w:tc>
      </w:tr>
    </w:tbl>
    <w:p w:rsidR="002D2DFB" w:rsidRDefault="002D2DFB">
      <w:pPr>
        <w:spacing w:after="0" w:line="3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Группа по оплате труда руководителей учреждений определяется на основании документов, подтверждающих наличие объемов работы учреждения на 1 января текущего года.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руководителями учреждений, находящихся на капитальном ремонте, реконструкции сохраняется группа по оплате труд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руководителей, определенная до начала капитального ремонта, реконструкции.</w:t>
      </w:r>
    </w:p>
    <w:p w:rsidR="002D2DFB" w:rsidRDefault="001C7B52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Показатели для отнесения учреждений к группам по оплате труда руководителей учреждений:</w:t>
      </w:r>
    </w:p>
    <w:p w:rsidR="002D2DFB" w:rsidRDefault="002D2DFB">
      <w:pPr>
        <w:spacing w:after="0" w:line="340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8"/>
        <w:gridCol w:w="4651"/>
        <w:gridCol w:w="3605"/>
        <w:gridCol w:w="1571"/>
      </w:tblGrid>
      <w:tr w:rsidR="002D2D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</w:p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баллов</w:t>
            </w:r>
          </w:p>
        </w:tc>
      </w:tr>
      <w:tr w:rsidR="002D2D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работников в учреждении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рас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 за каждого на каждого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D2D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обслуживаемых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каждое учреждение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2D2D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работников в обслуживаемых учреждениях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каждого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DFB" w:rsidRDefault="001C7B52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D2DFB" w:rsidRDefault="001C7B52">
      <w:pPr>
        <w:pStyle w:val="ConsPlusNormal"/>
        <w:tabs>
          <w:tab w:val="left" w:pos="9510"/>
        </w:tabs>
        <w:spacing w:line="340" w:lineRule="exact"/>
        <w:ind w:left="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2D2DFB" w:rsidRDefault="002D2DFB">
      <w:pPr>
        <w:pStyle w:val="ConsPlusNormal"/>
        <w:spacing w:line="340" w:lineRule="exact"/>
        <w:ind w:left="567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pStyle w:val="ConsPlusNormal"/>
        <w:spacing w:line="340" w:lineRule="exac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3 к Положению изложить в следующей редакции:</w:t>
      </w:r>
    </w:p>
    <w:p w:rsidR="002D2DFB" w:rsidRDefault="001C7B5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eastAsia="zh-CN"/>
        </w:rPr>
        <w:t>Приложение 3</w:t>
      </w:r>
    </w:p>
    <w:p w:rsidR="002D2DFB" w:rsidRDefault="001C7B5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к Положению</w:t>
      </w:r>
    </w:p>
    <w:p w:rsidR="002D2DFB" w:rsidRDefault="001C7B5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о системах оплаты труда работников</w:t>
      </w:r>
    </w:p>
    <w:p w:rsidR="002D2DFB" w:rsidRDefault="001C7B5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муниципальных учреждений </w:t>
      </w:r>
      <w:proofErr w:type="gramStart"/>
      <w:r>
        <w:rPr>
          <w:rFonts w:ascii="Times New Roman" w:hAnsi="Times New Roman"/>
          <w:sz w:val="28"/>
          <w:szCs w:val="28"/>
          <w:lang w:eastAsia="zh-CN"/>
        </w:rPr>
        <w:t>Таймырского</w:t>
      </w:r>
      <w:proofErr w:type="gramEnd"/>
    </w:p>
    <w:p w:rsidR="002D2DFB" w:rsidRDefault="001C7B5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Долгано-Ненецкого муниципального района</w:t>
      </w:r>
    </w:p>
    <w:p w:rsidR="002D2DFB" w:rsidRDefault="002D2DFB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</w:p>
    <w:p w:rsidR="002D2DFB" w:rsidRDefault="001C7B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ПРЕДЕЛЬНОЕ КОЛИЧЕСТВО ДОЛЖНОСТНЫХ ОКЛАДОВ РУКОВОДИТЕЛЕЙ</w:t>
      </w:r>
    </w:p>
    <w:p w:rsidR="002D2DFB" w:rsidRDefault="001C7B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УЧРЕЖДЕНИЙ, УЧИТЫВАЕМЫХ ПРИ ОПРЕДЕЛЕНИИ ОБЪЕМА СРЕДСТВ</w:t>
      </w:r>
    </w:p>
    <w:p w:rsidR="002D2DFB" w:rsidRDefault="001C7B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НА ВЫПЛ</w:t>
      </w:r>
      <w:r>
        <w:rPr>
          <w:rFonts w:ascii="Times New Roman" w:hAnsi="Times New Roman"/>
          <w:sz w:val="28"/>
          <w:szCs w:val="28"/>
          <w:lang w:eastAsia="zh-CN"/>
        </w:rPr>
        <w:t>АТЫ СТИМУЛИРУЮЩЕГО ХАРАКТЕРА РУКОВОДИТЕЛЯМ УЧРЕЖДЕНИЙ</w:t>
      </w:r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726"/>
        <w:gridCol w:w="3398"/>
      </w:tblGrid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Предельное количество окладов (должностных окладов) руководителя учреждения на выплаты стимулирующего характера, в год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Администрации муниципального района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по сопровождению деятельности органов местного самоуправления: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"Таймырская транспортная компания"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60,2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еждение "Таймырский архив"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48,7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Таймырского Долгано-Ненецкого муниципального района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 по обеспечению деятельности Администрации Таймырского Долгано-Ненецкого муниципального района и органов Администрации Таймырского Долгано-Ненецкого муниципального района"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54,7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Таймырского Долгано-Ненецкого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района "Редакционно-полиграфический комплекс "Таймыр"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35,9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"Таймырский молодежный центр"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62,1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управлению образования Администрации муниципального района: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льные образовательные учреждения, общеобразовательные учреждения, учреждения дополнительного образования детей, иные учреждения, подведомственные управлению образования Администрации муниципального района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13,4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Учреждения, подведомственные управлению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культуры Администрации муниципального района: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культуры, подведомственные управлению культуры Администрации муниципального района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29,8</w:t>
            </w:r>
          </w:p>
          <w:p w:rsidR="002D2DFB" w:rsidRDefault="002D2DFB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 детей, подведомственные управлению культуры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муниципального района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36,2</w:t>
            </w:r>
          </w:p>
        </w:tc>
      </w:tr>
      <w:tr w:rsidR="002D2DFB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Hlk219195269"/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_Hlk21920822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Учреждения, осуществляющие деятельность в сфере обеспечения деятельности учреждений культуры, подведомственных управлению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Администрации муниципального района</w:t>
            </w:r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подведомственные управлению культуры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DFB" w:rsidRDefault="001C7B52">
            <w:pPr>
              <w:pStyle w:val="ConsPlusNormal"/>
              <w:spacing w:line="3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40,8</w:t>
            </w:r>
          </w:p>
        </w:tc>
      </w:tr>
    </w:tbl>
    <w:bookmarkEnd w:id="6"/>
    <w:p w:rsidR="002D2DFB" w:rsidRDefault="001C7B52">
      <w:pPr>
        <w:pStyle w:val="ConsPlusNormal"/>
        <w:spacing w:line="3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2D2DFB" w:rsidRDefault="002D2DF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widowControl w:val="0"/>
        <w:spacing w:after="0" w:line="340" w:lineRule="exact"/>
        <w:ind w:firstLine="540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вступает в силу со дня, следующего за днем его официального обнародования.</w:t>
      </w:r>
    </w:p>
    <w:p w:rsidR="002D2DFB" w:rsidRDefault="002D2DFB">
      <w:pPr>
        <w:pStyle w:val="ConsPlusNormal"/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</w:t>
      </w: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Таймырского Долгано-Ненецкого</w:t>
      </w: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районного Совета депутатов</w:t>
      </w:r>
    </w:p>
    <w:p w:rsidR="002D2DFB" w:rsidRDefault="002D2DFB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</w:p>
    <w:p w:rsidR="002D2DFB" w:rsidRDefault="002D2DFB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Таймырского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Долгано-Ненецкого</w:t>
      </w:r>
    </w:p>
    <w:p w:rsidR="002D2DFB" w:rsidRDefault="001C7B52">
      <w:pPr>
        <w:widowControl w:val="0"/>
        <w:spacing w:after="0" w:line="340" w:lineRule="exact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района</w:t>
      </w: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D2DFB" w:rsidRDefault="002D2DFB">
      <w:pPr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</w:p>
    <w:sectPr w:rsidR="002D2DFB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B52" w:rsidRDefault="001C7B52">
      <w:pPr>
        <w:spacing w:after="0" w:line="240" w:lineRule="auto"/>
      </w:pPr>
      <w:r>
        <w:separator/>
      </w:r>
    </w:p>
  </w:endnote>
  <w:endnote w:type="continuationSeparator" w:id="0">
    <w:p w:rsidR="001C7B52" w:rsidRDefault="001C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B52" w:rsidRDefault="001C7B52">
      <w:pPr>
        <w:spacing w:after="0" w:line="240" w:lineRule="auto"/>
      </w:pPr>
      <w:r>
        <w:separator/>
      </w:r>
    </w:p>
  </w:footnote>
  <w:footnote w:type="continuationSeparator" w:id="0">
    <w:p w:rsidR="001C7B52" w:rsidRDefault="001C7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D9B"/>
    <w:multiLevelType w:val="hybridMultilevel"/>
    <w:tmpl w:val="694E40E4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32339"/>
    <w:multiLevelType w:val="hybridMultilevel"/>
    <w:tmpl w:val="07464688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1871CF"/>
    <w:multiLevelType w:val="hybridMultilevel"/>
    <w:tmpl w:val="AA8EA2B0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C3C5359"/>
    <w:multiLevelType w:val="hybridMultilevel"/>
    <w:tmpl w:val="84A4F3DE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627CDB"/>
    <w:multiLevelType w:val="hybridMultilevel"/>
    <w:tmpl w:val="737AA822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0A23A3D"/>
    <w:multiLevelType w:val="hybridMultilevel"/>
    <w:tmpl w:val="EE1424F6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6">
    <w:nsid w:val="40BD43B0"/>
    <w:multiLevelType w:val="hybridMultilevel"/>
    <w:tmpl w:val="EAD8F228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0E5997"/>
    <w:multiLevelType w:val="hybridMultilevel"/>
    <w:tmpl w:val="65168DA8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DFB"/>
    <w:rsid w:val="001C7B52"/>
    <w:rsid w:val="002D2DFB"/>
    <w:rsid w:val="008A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5105F-E482-4EC2-973F-3A6507E7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7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132</cp:revision>
  <cp:lastPrinted>2026-05-26T03:59:00Z</cp:lastPrinted>
  <dcterms:created xsi:type="dcterms:W3CDTF">2025-12-03T05:00:00Z</dcterms:created>
  <dcterms:modified xsi:type="dcterms:W3CDTF">2026-05-26T04:00:00Z</dcterms:modified>
  <cp:version>1048576</cp:version>
</cp:coreProperties>
</file>